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84" w:rsidRPr="0094254E" w:rsidRDefault="009F5186" w:rsidP="009F5186">
      <w:pPr>
        <w:pStyle w:val="NoSpacing"/>
        <w:jc w:val="center"/>
        <w:rPr>
          <w:rFonts w:ascii="Times New Roman" w:hAnsi="Times New Roman" w:cs="Times New Roman"/>
          <w:b/>
        </w:rPr>
      </w:pPr>
      <w:r w:rsidRPr="0094254E">
        <w:rPr>
          <w:rFonts w:ascii="Times New Roman" w:hAnsi="Times New Roman" w:cs="Times New Roman"/>
          <w:b/>
        </w:rPr>
        <w:t>Coshocton County Board of Health</w:t>
      </w:r>
    </w:p>
    <w:p w:rsidR="009F5186" w:rsidRPr="0094254E" w:rsidRDefault="009F5186" w:rsidP="009F5186">
      <w:pPr>
        <w:pStyle w:val="NoSpacing"/>
        <w:jc w:val="center"/>
        <w:rPr>
          <w:rFonts w:ascii="Times New Roman" w:hAnsi="Times New Roman" w:cs="Times New Roman"/>
          <w:b/>
        </w:rPr>
      </w:pPr>
      <w:r w:rsidRPr="0094254E">
        <w:rPr>
          <w:rFonts w:ascii="Times New Roman" w:hAnsi="Times New Roman" w:cs="Times New Roman"/>
          <w:b/>
        </w:rPr>
        <w:t>Minutes</w:t>
      </w:r>
    </w:p>
    <w:p w:rsidR="009F5186" w:rsidRPr="0094254E" w:rsidRDefault="009F5186" w:rsidP="009F5186">
      <w:pPr>
        <w:pStyle w:val="NoSpacing"/>
        <w:jc w:val="center"/>
        <w:rPr>
          <w:rFonts w:ascii="Times New Roman" w:hAnsi="Times New Roman" w:cs="Times New Roman"/>
          <w:b/>
        </w:rPr>
      </w:pPr>
      <w:r w:rsidRPr="0094254E">
        <w:rPr>
          <w:rFonts w:ascii="Times New Roman" w:hAnsi="Times New Roman" w:cs="Times New Roman"/>
          <w:b/>
        </w:rPr>
        <w:t>September 17, 2020</w:t>
      </w:r>
    </w:p>
    <w:p w:rsidR="009F5186" w:rsidRDefault="009F5186" w:rsidP="009F5186">
      <w:pPr>
        <w:pStyle w:val="NoSpacing"/>
        <w:jc w:val="center"/>
        <w:rPr>
          <w:rFonts w:ascii="Times New Roman" w:hAnsi="Times New Roman" w:cs="Times New Roman"/>
        </w:rPr>
      </w:pPr>
    </w:p>
    <w:p w:rsidR="009F5186" w:rsidRDefault="009F5186" w:rsidP="009F5186">
      <w:pPr>
        <w:pStyle w:val="NoSpacing"/>
        <w:rPr>
          <w:rFonts w:ascii="Times New Roman" w:hAnsi="Times New Roman" w:cs="Times New Roman"/>
        </w:rPr>
      </w:pPr>
      <w:r>
        <w:rPr>
          <w:rFonts w:ascii="Times New Roman" w:hAnsi="Times New Roman" w:cs="Times New Roman"/>
        </w:rPr>
        <w:t xml:space="preserve">The Board of Health for the Coshocton County General Health District met in regular session on Thursday, </w:t>
      </w:r>
      <w:r w:rsidR="0094254E">
        <w:rPr>
          <w:rFonts w:ascii="Times New Roman" w:hAnsi="Times New Roman" w:cs="Times New Roman"/>
        </w:rPr>
        <w:t xml:space="preserve">September 17, 2020 in the County Services Building.  Board members in attendance were Board President, Scott Limburg; Don Wells; Jeff Poland DVM; Robert Gwinn MD with Linda Weber attending via telephone.  Staff members present included Health Commissioner, Steve Lonsinger; Zach Fanning; Tammy Smith; and Wendy Wilson.  </w:t>
      </w:r>
    </w:p>
    <w:p w:rsidR="0094254E" w:rsidRDefault="0094254E" w:rsidP="009F5186">
      <w:pPr>
        <w:pStyle w:val="NoSpacing"/>
        <w:rPr>
          <w:rFonts w:ascii="Times New Roman" w:hAnsi="Times New Roman" w:cs="Times New Roman"/>
        </w:rPr>
      </w:pPr>
    </w:p>
    <w:p w:rsidR="0094254E" w:rsidRDefault="0094254E" w:rsidP="009F5186">
      <w:pPr>
        <w:pStyle w:val="NoSpacing"/>
        <w:rPr>
          <w:rFonts w:ascii="Times New Roman" w:hAnsi="Times New Roman" w:cs="Times New Roman"/>
        </w:rPr>
      </w:pPr>
      <w:r w:rsidRPr="0094254E">
        <w:rPr>
          <w:rFonts w:ascii="Times New Roman" w:hAnsi="Times New Roman" w:cs="Times New Roman"/>
          <w:b/>
        </w:rPr>
        <w:t>Roll Call</w:t>
      </w:r>
      <w:r>
        <w:rPr>
          <w:rFonts w:ascii="Times New Roman" w:hAnsi="Times New Roman" w:cs="Times New Roman"/>
        </w:rPr>
        <w:t xml:space="preserve"> – Mr. Limburg called the meeting together at 5:30 pm.  All board members were present.</w:t>
      </w:r>
    </w:p>
    <w:p w:rsidR="00B64E80" w:rsidRDefault="00B64E80" w:rsidP="009F5186">
      <w:pPr>
        <w:pStyle w:val="NoSpacing"/>
        <w:rPr>
          <w:rFonts w:ascii="Times New Roman" w:hAnsi="Times New Roman" w:cs="Times New Roman"/>
        </w:rPr>
      </w:pPr>
    </w:p>
    <w:p w:rsidR="00B64E80" w:rsidRDefault="00B64E80" w:rsidP="009F5186">
      <w:pPr>
        <w:pStyle w:val="NoSpacing"/>
        <w:rPr>
          <w:rFonts w:ascii="Times New Roman" w:hAnsi="Times New Roman" w:cs="Times New Roman"/>
        </w:rPr>
      </w:pPr>
      <w:r w:rsidRPr="00B64E80">
        <w:rPr>
          <w:rFonts w:ascii="Times New Roman" w:hAnsi="Times New Roman" w:cs="Times New Roman"/>
          <w:b/>
        </w:rPr>
        <w:t>Minutes</w:t>
      </w:r>
      <w:r>
        <w:rPr>
          <w:rFonts w:ascii="Times New Roman" w:hAnsi="Times New Roman" w:cs="Times New Roman"/>
        </w:rPr>
        <w:t xml:space="preserve"> – Dr. Poland moved and Mr. Wells seconded a motion to approve the minutes of the August 20, 2020 regular board meeting. – Roll call was unanimous – motion carried.</w:t>
      </w:r>
    </w:p>
    <w:p w:rsidR="00B64E80" w:rsidRDefault="00B64E80" w:rsidP="009F5186">
      <w:pPr>
        <w:pStyle w:val="NoSpacing"/>
        <w:rPr>
          <w:rFonts w:ascii="Times New Roman" w:hAnsi="Times New Roman" w:cs="Times New Roman"/>
        </w:rPr>
      </w:pPr>
    </w:p>
    <w:p w:rsidR="00B64E80" w:rsidRDefault="00B64E80" w:rsidP="009F5186">
      <w:pPr>
        <w:pStyle w:val="NoSpacing"/>
        <w:rPr>
          <w:rFonts w:ascii="Times New Roman" w:hAnsi="Times New Roman" w:cs="Times New Roman"/>
        </w:rPr>
      </w:pPr>
      <w:r w:rsidRPr="00B64E80">
        <w:rPr>
          <w:rFonts w:ascii="Times New Roman" w:hAnsi="Times New Roman" w:cs="Times New Roman"/>
          <w:b/>
        </w:rPr>
        <w:t>Current Expenses</w:t>
      </w:r>
      <w:r>
        <w:rPr>
          <w:rFonts w:ascii="Times New Roman" w:hAnsi="Times New Roman" w:cs="Times New Roman"/>
        </w:rPr>
        <w:t xml:space="preserve"> – Dr. Poland moved and Mr. Wells seconded a motion to approve Resolution 2020-22, paying current expenses. – Roll call was unanimous – motion carried. – Amounts approved were:</w:t>
      </w:r>
    </w:p>
    <w:p w:rsidR="00B64E80" w:rsidRDefault="00B64E80" w:rsidP="009F5186">
      <w:pPr>
        <w:pStyle w:val="NoSpacing"/>
        <w:rPr>
          <w:rFonts w:ascii="Times New Roman" w:hAnsi="Times New Roman" w:cs="Times New Roman"/>
        </w:rPr>
      </w:pPr>
    </w:p>
    <w:tbl>
      <w:tblPr>
        <w:tblpPr w:leftFromText="180" w:rightFromText="180" w:vertAnchor="text" w:tblpX="109" w:tblpY="1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518"/>
        <w:gridCol w:w="2142"/>
      </w:tblGrid>
      <w:tr w:rsidR="00B64E80" w:rsidRPr="00B64E80" w:rsidTr="00E128F5">
        <w:trPr>
          <w:trHeight w:val="70"/>
        </w:trPr>
        <w:tc>
          <w:tcPr>
            <w:tcW w:w="1620" w:type="dxa"/>
          </w:tcPr>
          <w:p w:rsidR="00B64E80" w:rsidRPr="00B64E80" w:rsidRDefault="00B64E80" w:rsidP="00E128F5">
            <w:pPr>
              <w:rPr>
                <w:sz w:val="22"/>
                <w:szCs w:val="22"/>
              </w:rPr>
            </w:pPr>
            <w:r w:rsidRPr="00B64E80">
              <w:rPr>
                <w:sz w:val="22"/>
                <w:szCs w:val="22"/>
              </w:rPr>
              <w:t>019-0100</w:t>
            </w:r>
          </w:p>
        </w:tc>
        <w:tc>
          <w:tcPr>
            <w:tcW w:w="4518" w:type="dxa"/>
          </w:tcPr>
          <w:p w:rsidR="00B64E80" w:rsidRPr="00B64E80" w:rsidRDefault="00B64E80" w:rsidP="00E128F5">
            <w:pPr>
              <w:rPr>
                <w:sz w:val="22"/>
                <w:szCs w:val="22"/>
              </w:rPr>
            </w:pPr>
            <w:r w:rsidRPr="00B64E80">
              <w:rPr>
                <w:sz w:val="22"/>
                <w:szCs w:val="22"/>
              </w:rPr>
              <w:t>Maternal and Child Health</w:t>
            </w:r>
          </w:p>
        </w:tc>
        <w:tc>
          <w:tcPr>
            <w:tcW w:w="2142" w:type="dxa"/>
          </w:tcPr>
          <w:p w:rsidR="00B64E80" w:rsidRPr="00B64E80" w:rsidRDefault="00B64E80" w:rsidP="00E128F5">
            <w:pPr>
              <w:jc w:val="right"/>
              <w:rPr>
                <w:sz w:val="22"/>
                <w:szCs w:val="22"/>
              </w:rPr>
            </w:pPr>
            <w:r w:rsidRPr="00B64E80">
              <w:rPr>
                <w:sz w:val="22"/>
                <w:szCs w:val="22"/>
              </w:rPr>
              <w:t>3,855.97</w:t>
            </w:r>
          </w:p>
        </w:tc>
      </w:tr>
      <w:tr w:rsidR="00B64E80" w:rsidRPr="00B64E80" w:rsidTr="00E128F5">
        <w:trPr>
          <w:trHeight w:val="242"/>
        </w:trPr>
        <w:tc>
          <w:tcPr>
            <w:tcW w:w="1620" w:type="dxa"/>
          </w:tcPr>
          <w:p w:rsidR="00B64E80" w:rsidRPr="00B64E80" w:rsidRDefault="00B64E80" w:rsidP="00E128F5">
            <w:pPr>
              <w:rPr>
                <w:sz w:val="22"/>
                <w:szCs w:val="22"/>
              </w:rPr>
            </w:pPr>
            <w:r w:rsidRPr="00B64E80">
              <w:rPr>
                <w:sz w:val="22"/>
                <w:szCs w:val="22"/>
              </w:rPr>
              <w:t>020-0100</w:t>
            </w:r>
          </w:p>
        </w:tc>
        <w:tc>
          <w:tcPr>
            <w:tcW w:w="4518" w:type="dxa"/>
          </w:tcPr>
          <w:p w:rsidR="00B64E80" w:rsidRPr="00B64E80" w:rsidRDefault="00B64E80" w:rsidP="00E128F5">
            <w:pPr>
              <w:rPr>
                <w:sz w:val="22"/>
                <w:szCs w:val="22"/>
              </w:rPr>
            </w:pPr>
            <w:r w:rsidRPr="00B64E80">
              <w:rPr>
                <w:sz w:val="22"/>
                <w:szCs w:val="22"/>
              </w:rPr>
              <w:t>District Health</w:t>
            </w:r>
          </w:p>
        </w:tc>
        <w:tc>
          <w:tcPr>
            <w:tcW w:w="2142" w:type="dxa"/>
          </w:tcPr>
          <w:p w:rsidR="00B64E80" w:rsidRPr="00B64E80" w:rsidRDefault="00B64E80" w:rsidP="00E128F5">
            <w:pPr>
              <w:jc w:val="right"/>
              <w:rPr>
                <w:sz w:val="22"/>
                <w:szCs w:val="22"/>
              </w:rPr>
            </w:pPr>
            <w:r w:rsidRPr="00B64E80">
              <w:rPr>
                <w:sz w:val="22"/>
                <w:szCs w:val="22"/>
              </w:rPr>
              <w:t>5,544.42</w:t>
            </w:r>
          </w:p>
        </w:tc>
      </w:tr>
      <w:tr w:rsidR="00B64E80" w:rsidRPr="00B64E80" w:rsidTr="00E128F5">
        <w:trPr>
          <w:trHeight w:val="215"/>
        </w:trPr>
        <w:tc>
          <w:tcPr>
            <w:tcW w:w="1620" w:type="dxa"/>
          </w:tcPr>
          <w:p w:rsidR="00B64E80" w:rsidRPr="00B64E80" w:rsidRDefault="00B64E80" w:rsidP="00E128F5">
            <w:pPr>
              <w:rPr>
                <w:sz w:val="22"/>
                <w:szCs w:val="22"/>
              </w:rPr>
            </w:pPr>
            <w:r w:rsidRPr="00B64E80">
              <w:rPr>
                <w:sz w:val="22"/>
                <w:szCs w:val="22"/>
              </w:rPr>
              <w:t>020-0300</w:t>
            </w:r>
          </w:p>
        </w:tc>
        <w:tc>
          <w:tcPr>
            <w:tcW w:w="4518" w:type="dxa"/>
          </w:tcPr>
          <w:p w:rsidR="00B64E80" w:rsidRPr="00B64E80" w:rsidRDefault="00B64E80" w:rsidP="00E128F5">
            <w:pPr>
              <w:rPr>
                <w:sz w:val="22"/>
                <w:szCs w:val="22"/>
              </w:rPr>
            </w:pPr>
            <w:r w:rsidRPr="00B64E80">
              <w:rPr>
                <w:sz w:val="22"/>
                <w:szCs w:val="22"/>
              </w:rPr>
              <w:t>Coronavirus Response Grant</w:t>
            </w:r>
          </w:p>
        </w:tc>
        <w:tc>
          <w:tcPr>
            <w:tcW w:w="2142" w:type="dxa"/>
          </w:tcPr>
          <w:p w:rsidR="00B64E80" w:rsidRPr="00B64E80" w:rsidRDefault="00B64E80" w:rsidP="00E128F5">
            <w:pPr>
              <w:jc w:val="right"/>
              <w:rPr>
                <w:sz w:val="22"/>
                <w:szCs w:val="22"/>
              </w:rPr>
            </w:pPr>
            <w:r w:rsidRPr="00B64E80">
              <w:rPr>
                <w:sz w:val="22"/>
                <w:szCs w:val="22"/>
              </w:rPr>
              <w:t>1,295.50</w:t>
            </w:r>
          </w:p>
        </w:tc>
      </w:tr>
      <w:tr w:rsidR="00B64E80" w:rsidRPr="00B64E80" w:rsidTr="00E128F5">
        <w:trPr>
          <w:trHeight w:val="215"/>
        </w:trPr>
        <w:tc>
          <w:tcPr>
            <w:tcW w:w="1620" w:type="dxa"/>
          </w:tcPr>
          <w:p w:rsidR="00B64E80" w:rsidRPr="00B64E80" w:rsidRDefault="00B64E80" w:rsidP="00E128F5">
            <w:pPr>
              <w:rPr>
                <w:sz w:val="22"/>
                <w:szCs w:val="22"/>
              </w:rPr>
            </w:pPr>
            <w:r w:rsidRPr="00B64E80">
              <w:rPr>
                <w:sz w:val="22"/>
                <w:szCs w:val="22"/>
              </w:rPr>
              <w:t>020-0400</w:t>
            </w:r>
          </w:p>
        </w:tc>
        <w:tc>
          <w:tcPr>
            <w:tcW w:w="4518" w:type="dxa"/>
          </w:tcPr>
          <w:p w:rsidR="00B64E80" w:rsidRPr="00B64E80" w:rsidRDefault="00B64E80" w:rsidP="00E128F5">
            <w:pPr>
              <w:rPr>
                <w:sz w:val="22"/>
                <w:szCs w:val="22"/>
              </w:rPr>
            </w:pPr>
            <w:r w:rsidRPr="00B64E80">
              <w:rPr>
                <w:sz w:val="22"/>
                <w:szCs w:val="22"/>
              </w:rPr>
              <w:t>Contact Tracing Grant</w:t>
            </w:r>
          </w:p>
        </w:tc>
        <w:tc>
          <w:tcPr>
            <w:tcW w:w="2142" w:type="dxa"/>
          </w:tcPr>
          <w:p w:rsidR="00B64E80" w:rsidRPr="00B64E80" w:rsidRDefault="00B64E80" w:rsidP="00E128F5">
            <w:pPr>
              <w:jc w:val="right"/>
              <w:rPr>
                <w:sz w:val="22"/>
                <w:szCs w:val="22"/>
              </w:rPr>
            </w:pPr>
            <w:r w:rsidRPr="00B64E80">
              <w:rPr>
                <w:sz w:val="22"/>
                <w:szCs w:val="22"/>
              </w:rPr>
              <w:t>2,893.71</w:t>
            </w:r>
          </w:p>
        </w:tc>
      </w:tr>
      <w:tr w:rsidR="00B64E80" w:rsidRPr="00B64E80" w:rsidTr="00E128F5">
        <w:trPr>
          <w:trHeight w:val="215"/>
        </w:trPr>
        <w:tc>
          <w:tcPr>
            <w:tcW w:w="1620" w:type="dxa"/>
          </w:tcPr>
          <w:p w:rsidR="00B64E80" w:rsidRPr="00B64E80" w:rsidRDefault="00B64E80" w:rsidP="00E128F5">
            <w:pPr>
              <w:rPr>
                <w:sz w:val="22"/>
                <w:szCs w:val="22"/>
              </w:rPr>
            </w:pPr>
            <w:r w:rsidRPr="00B64E80">
              <w:rPr>
                <w:sz w:val="22"/>
                <w:szCs w:val="22"/>
              </w:rPr>
              <w:t>021-0100</w:t>
            </w:r>
          </w:p>
        </w:tc>
        <w:tc>
          <w:tcPr>
            <w:tcW w:w="4518" w:type="dxa"/>
          </w:tcPr>
          <w:p w:rsidR="00B64E80" w:rsidRPr="00B64E80" w:rsidRDefault="00B64E80" w:rsidP="00E128F5">
            <w:pPr>
              <w:rPr>
                <w:sz w:val="22"/>
                <w:szCs w:val="22"/>
              </w:rPr>
            </w:pPr>
            <w:r w:rsidRPr="00B64E80">
              <w:rPr>
                <w:sz w:val="22"/>
                <w:szCs w:val="22"/>
              </w:rPr>
              <w:t>Swimming Pools</w:t>
            </w:r>
          </w:p>
        </w:tc>
        <w:tc>
          <w:tcPr>
            <w:tcW w:w="2142" w:type="dxa"/>
          </w:tcPr>
          <w:p w:rsidR="00B64E80" w:rsidRPr="00B64E80" w:rsidRDefault="00B64E80" w:rsidP="00E128F5">
            <w:pPr>
              <w:jc w:val="right"/>
              <w:rPr>
                <w:sz w:val="22"/>
                <w:szCs w:val="22"/>
              </w:rPr>
            </w:pPr>
            <w:r w:rsidRPr="00B64E80">
              <w:rPr>
                <w:sz w:val="22"/>
                <w:szCs w:val="22"/>
              </w:rPr>
              <w:t>1,110.00</w:t>
            </w:r>
          </w:p>
        </w:tc>
      </w:tr>
      <w:tr w:rsidR="00B64E80" w:rsidRPr="00B64E80" w:rsidTr="00E128F5">
        <w:trPr>
          <w:trHeight w:val="170"/>
        </w:trPr>
        <w:tc>
          <w:tcPr>
            <w:tcW w:w="1620" w:type="dxa"/>
          </w:tcPr>
          <w:p w:rsidR="00B64E80" w:rsidRPr="00B64E80" w:rsidRDefault="00B64E80" w:rsidP="00E128F5">
            <w:pPr>
              <w:rPr>
                <w:sz w:val="22"/>
                <w:szCs w:val="22"/>
              </w:rPr>
            </w:pPr>
            <w:r w:rsidRPr="00B64E80">
              <w:rPr>
                <w:sz w:val="22"/>
                <w:szCs w:val="22"/>
              </w:rPr>
              <w:t>022-0100</w:t>
            </w:r>
          </w:p>
        </w:tc>
        <w:tc>
          <w:tcPr>
            <w:tcW w:w="4518" w:type="dxa"/>
          </w:tcPr>
          <w:p w:rsidR="00B64E80" w:rsidRPr="00B64E80" w:rsidRDefault="00B64E80" w:rsidP="00E128F5">
            <w:pPr>
              <w:rPr>
                <w:sz w:val="22"/>
                <w:szCs w:val="22"/>
              </w:rPr>
            </w:pPr>
            <w:r w:rsidRPr="00B64E80">
              <w:rPr>
                <w:sz w:val="22"/>
                <w:szCs w:val="22"/>
              </w:rPr>
              <w:t>WIC</w:t>
            </w:r>
          </w:p>
        </w:tc>
        <w:tc>
          <w:tcPr>
            <w:tcW w:w="2142" w:type="dxa"/>
          </w:tcPr>
          <w:p w:rsidR="00B64E80" w:rsidRPr="00B64E80" w:rsidRDefault="00B64E80" w:rsidP="00E128F5">
            <w:pPr>
              <w:jc w:val="right"/>
              <w:rPr>
                <w:sz w:val="22"/>
                <w:szCs w:val="22"/>
              </w:rPr>
            </w:pPr>
            <w:r w:rsidRPr="00B64E80">
              <w:rPr>
                <w:sz w:val="22"/>
                <w:szCs w:val="22"/>
              </w:rPr>
              <w:t>593.37</w:t>
            </w:r>
          </w:p>
        </w:tc>
      </w:tr>
      <w:tr w:rsidR="00B64E80" w:rsidRPr="00B64E80" w:rsidTr="00E128F5">
        <w:trPr>
          <w:trHeight w:val="242"/>
        </w:trPr>
        <w:tc>
          <w:tcPr>
            <w:tcW w:w="1620" w:type="dxa"/>
          </w:tcPr>
          <w:p w:rsidR="00B64E80" w:rsidRPr="00B64E80" w:rsidRDefault="00B64E80" w:rsidP="00E128F5">
            <w:pPr>
              <w:rPr>
                <w:sz w:val="22"/>
                <w:szCs w:val="22"/>
              </w:rPr>
            </w:pPr>
            <w:r w:rsidRPr="00B64E80">
              <w:rPr>
                <w:sz w:val="22"/>
                <w:szCs w:val="22"/>
              </w:rPr>
              <w:t>024-0100</w:t>
            </w:r>
          </w:p>
        </w:tc>
        <w:tc>
          <w:tcPr>
            <w:tcW w:w="4518" w:type="dxa"/>
          </w:tcPr>
          <w:p w:rsidR="00B64E80" w:rsidRPr="00B64E80" w:rsidRDefault="00B64E80" w:rsidP="00E128F5">
            <w:pPr>
              <w:rPr>
                <w:sz w:val="22"/>
                <w:szCs w:val="22"/>
              </w:rPr>
            </w:pPr>
            <w:r w:rsidRPr="00B64E80">
              <w:rPr>
                <w:sz w:val="22"/>
                <w:szCs w:val="22"/>
              </w:rPr>
              <w:t>Private Water</w:t>
            </w:r>
          </w:p>
        </w:tc>
        <w:tc>
          <w:tcPr>
            <w:tcW w:w="2142" w:type="dxa"/>
          </w:tcPr>
          <w:p w:rsidR="00B64E80" w:rsidRPr="00B64E80" w:rsidRDefault="00B64E80" w:rsidP="00E128F5">
            <w:pPr>
              <w:jc w:val="right"/>
              <w:rPr>
                <w:sz w:val="22"/>
                <w:szCs w:val="22"/>
              </w:rPr>
            </w:pPr>
            <w:r w:rsidRPr="00B64E80">
              <w:rPr>
                <w:sz w:val="22"/>
                <w:szCs w:val="22"/>
              </w:rPr>
              <w:t>400.00</w:t>
            </w:r>
          </w:p>
        </w:tc>
      </w:tr>
      <w:tr w:rsidR="00B64E80" w:rsidRPr="00B64E80" w:rsidTr="00E128F5">
        <w:trPr>
          <w:trHeight w:val="170"/>
        </w:trPr>
        <w:tc>
          <w:tcPr>
            <w:tcW w:w="1620" w:type="dxa"/>
          </w:tcPr>
          <w:p w:rsidR="00B64E80" w:rsidRPr="00B64E80" w:rsidRDefault="00B64E80" w:rsidP="00E128F5">
            <w:pPr>
              <w:rPr>
                <w:sz w:val="22"/>
                <w:szCs w:val="22"/>
              </w:rPr>
            </w:pPr>
            <w:r w:rsidRPr="00B64E80">
              <w:rPr>
                <w:sz w:val="22"/>
                <w:szCs w:val="22"/>
              </w:rPr>
              <w:t>130-0100</w:t>
            </w:r>
          </w:p>
        </w:tc>
        <w:tc>
          <w:tcPr>
            <w:tcW w:w="4518" w:type="dxa"/>
          </w:tcPr>
          <w:p w:rsidR="00B64E80" w:rsidRPr="00B64E80" w:rsidRDefault="00B64E80" w:rsidP="00E128F5">
            <w:pPr>
              <w:rPr>
                <w:sz w:val="22"/>
                <w:szCs w:val="22"/>
              </w:rPr>
            </w:pPr>
            <w:r w:rsidRPr="00B64E80">
              <w:rPr>
                <w:sz w:val="22"/>
                <w:szCs w:val="22"/>
              </w:rPr>
              <w:t>Solid Waste – CFLP Grant</w:t>
            </w:r>
          </w:p>
        </w:tc>
        <w:tc>
          <w:tcPr>
            <w:tcW w:w="2142" w:type="dxa"/>
          </w:tcPr>
          <w:p w:rsidR="00B64E80" w:rsidRPr="00B64E80" w:rsidRDefault="00B64E80" w:rsidP="00E128F5">
            <w:pPr>
              <w:jc w:val="right"/>
              <w:rPr>
                <w:sz w:val="22"/>
                <w:szCs w:val="22"/>
              </w:rPr>
            </w:pPr>
            <w:r w:rsidRPr="00B64E80">
              <w:rPr>
                <w:sz w:val="22"/>
                <w:szCs w:val="22"/>
              </w:rPr>
              <w:t>48.81</w:t>
            </w:r>
          </w:p>
        </w:tc>
      </w:tr>
      <w:tr w:rsidR="00B64E80" w:rsidRPr="00B64E80" w:rsidTr="00E128F5">
        <w:trPr>
          <w:trHeight w:val="242"/>
        </w:trPr>
        <w:tc>
          <w:tcPr>
            <w:tcW w:w="1620" w:type="dxa"/>
          </w:tcPr>
          <w:p w:rsidR="00B64E80" w:rsidRPr="00B64E80" w:rsidRDefault="00B64E80" w:rsidP="00E128F5">
            <w:pPr>
              <w:rPr>
                <w:sz w:val="22"/>
                <w:szCs w:val="22"/>
              </w:rPr>
            </w:pPr>
            <w:r w:rsidRPr="00B64E80">
              <w:rPr>
                <w:sz w:val="22"/>
                <w:szCs w:val="22"/>
              </w:rPr>
              <w:t>131-0100</w:t>
            </w:r>
          </w:p>
        </w:tc>
        <w:tc>
          <w:tcPr>
            <w:tcW w:w="4518" w:type="dxa"/>
          </w:tcPr>
          <w:p w:rsidR="00B64E80" w:rsidRPr="00B64E80" w:rsidRDefault="00B64E80" w:rsidP="00E128F5">
            <w:pPr>
              <w:rPr>
                <w:sz w:val="22"/>
                <w:szCs w:val="22"/>
              </w:rPr>
            </w:pPr>
            <w:r w:rsidRPr="00B64E80">
              <w:rPr>
                <w:sz w:val="22"/>
                <w:szCs w:val="22"/>
              </w:rPr>
              <w:t>Household Sewage Treatment Systems</w:t>
            </w:r>
          </w:p>
        </w:tc>
        <w:tc>
          <w:tcPr>
            <w:tcW w:w="2142" w:type="dxa"/>
          </w:tcPr>
          <w:p w:rsidR="00B64E80" w:rsidRPr="00B64E80" w:rsidRDefault="00B64E80" w:rsidP="00E128F5">
            <w:pPr>
              <w:jc w:val="right"/>
              <w:rPr>
                <w:sz w:val="22"/>
                <w:szCs w:val="22"/>
              </w:rPr>
            </w:pPr>
            <w:r w:rsidRPr="00B64E80">
              <w:rPr>
                <w:sz w:val="22"/>
                <w:szCs w:val="22"/>
              </w:rPr>
              <w:t>262.94</w:t>
            </w:r>
          </w:p>
        </w:tc>
      </w:tr>
      <w:tr w:rsidR="00B64E80" w:rsidRPr="00B64E80" w:rsidTr="00E128F5">
        <w:trPr>
          <w:trHeight w:val="143"/>
        </w:trPr>
        <w:tc>
          <w:tcPr>
            <w:tcW w:w="1620" w:type="dxa"/>
          </w:tcPr>
          <w:p w:rsidR="00B64E80" w:rsidRPr="00B64E80" w:rsidRDefault="00B64E80" w:rsidP="00E128F5">
            <w:pPr>
              <w:rPr>
                <w:sz w:val="22"/>
                <w:szCs w:val="22"/>
              </w:rPr>
            </w:pPr>
          </w:p>
        </w:tc>
        <w:tc>
          <w:tcPr>
            <w:tcW w:w="4518" w:type="dxa"/>
          </w:tcPr>
          <w:p w:rsidR="00B64E80" w:rsidRPr="00B64E80" w:rsidRDefault="00B64E80" w:rsidP="00E128F5">
            <w:pPr>
              <w:rPr>
                <w:sz w:val="22"/>
                <w:szCs w:val="22"/>
              </w:rPr>
            </w:pPr>
            <w:r w:rsidRPr="00B64E80">
              <w:rPr>
                <w:sz w:val="22"/>
                <w:szCs w:val="22"/>
              </w:rPr>
              <w:t>Total</w:t>
            </w:r>
          </w:p>
        </w:tc>
        <w:tc>
          <w:tcPr>
            <w:tcW w:w="2142" w:type="dxa"/>
          </w:tcPr>
          <w:p w:rsidR="00B64E80" w:rsidRPr="00B64E80" w:rsidRDefault="00B64E80" w:rsidP="00E128F5">
            <w:pPr>
              <w:jc w:val="right"/>
              <w:rPr>
                <w:sz w:val="22"/>
                <w:szCs w:val="22"/>
              </w:rPr>
            </w:pPr>
            <w:r w:rsidRPr="00B64E80">
              <w:rPr>
                <w:sz w:val="22"/>
                <w:szCs w:val="22"/>
              </w:rPr>
              <w:fldChar w:fldCharType="begin"/>
            </w:r>
            <w:r w:rsidRPr="00B64E80">
              <w:rPr>
                <w:sz w:val="22"/>
                <w:szCs w:val="22"/>
              </w:rPr>
              <w:instrText xml:space="preserve"> =SUM(ABOVE) </w:instrText>
            </w:r>
            <w:r w:rsidRPr="00B64E80">
              <w:rPr>
                <w:sz w:val="22"/>
                <w:szCs w:val="22"/>
              </w:rPr>
              <w:fldChar w:fldCharType="separate"/>
            </w:r>
            <w:r w:rsidRPr="00B64E80">
              <w:rPr>
                <w:noProof/>
                <w:sz w:val="22"/>
                <w:szCs w:val="22"/>
              </w:rPr>
              <w:t>16,004.72</w:t>
            </w:r>
            <w:r w:rsidRPr="00B64E80">
              <w:rPr>
                <w:sz w:val="22"/>
                <w:szCs w:val="22"/>
              </w:rPr>
              <w:fldChar w:fldCharType="end"/>
            </w:r>
          </w:p>
        </w:tc>
      </w:tr>
    </w:tbl>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94254E" w:rsidRPr="00B64E80" w:rsidRDefault="0094254E" w:rsidP="009F5186">
      <w:pPr>
        <w:pStyle w:val="NoSpacing"/>
        <w:rPr>
          <w:rFonts w:ascii="Times New Roman" w:hAnsi="Times New Roman" w:cs="Times New Roman"/>
        </w:rPr>
      </w:pPr>
    </w:p>
    <w:p w:rsidR="0094254E" w:rsidRPr="00B64E80" w:rsidRDefault="0094254E"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p>
    <w:p w:rsidR="00B64E80" w:rsidRPr="00B64E80" w:rsidRDefault="00B64E80" w:rsidP="009F5186">
      <w:pPr>
        <w:pStyle w:val="NoSpacing"/>
        <w:rPr>
          <w:rFonts w:ascii="Times New Roman" w:hAnsi="Times New Roman" w:cs="Times New Roman"/>
        </w:rPr>
      </w:pPr>
      <w:r w:rsidRPr="00B64E80">
        <w:rPr>
          <w:rFonts w:ascii="Times New Roman" w:hAnsi="Times New Roman" w:cs="Times New Roman"/>
          <w:b/>
        </w:rPr>
        <w:t>MCHC Transfer</w:t>
      </w:r>
      <w:r w:rsidRPr="00B64E80">
        <w:rPr>
          <w:rFonts w:ascii="Times New Roman" w:hAnsi="Times New Roman" w:cs="Times New Roman"/>
        </w:rPr>
        <w:t xml:space="preserve"> – Mr. Wells moved and Dr. </w:t>
      </w:r>
      <w:r w:rsidR="00F452C1">
        <w:rPr>
          <w:rFonts w:ascii="Times New Roman" w:hAnsi="Times New Roman" w:cs="Times New Roman"/>
        </w:rPr>
        <w:t>Gwinn</w:t>
      </w:r>
      <w:r w:rsidRPr="00B64E80">
        <w:rPr>
          <w:rFonts w:ascii="Times New Roman" w:hAnsi="Times New Roman" w:cs="Times New Roman"/>
        </w:rPr>
        <w:t xml:space="preserve"> seconded a motion to approve Resolution 2020-23, Maternal and Child Health transfers. – Roll call was unanimous – motion carried.</w:t>
      </w:r>
    </w:p>
    <w:p w:rsidR="00B64E80" w:rsidRPr="00B64E80" w:rsidRDefault="00B64E80" w:rsidP="009F518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975"/>
        <w:gridCol w:w="1816"/>
        <w:gridCol w:w="533"/>
        <w:gridCol w:w="2012"/>
        <w:gridCol w:w="2018"/>
        <w:gridCol w:w="996"/>
      </w:tblGrid>
      <w:tr w:rsidR="00B64E80" w:rsidRPr="00B64E80" w:rsidTr="00B64E80">
        <w:tc>
          <w:tcPr>
            <w:tcW w:w="1975" w:type="dxa"/>
          </w:tcPr>
          <w:p w:rsidR="00B64E80" w:rsidRPr="00B64E80" w:rsidRDefault="00B64E80" w:rsidP="00E128F5">
            <w:pPr>
              <w:rPr>
                <w:sz w:val="22"/>
                <w:szCs w:val="22"/>
              </w:rPr>
            </w:pPr>
            <w:r w:rsidRPr="00B64E80">
              <w:rPr>
                <w:sz w:val="22"/>
                <w:szCs w:val="22"/>
              </w:rPr>
              <w:t>019-0100-5200.01</w:t>
            </w:r>
          </w:p>
        </w:tc>
        <w:tc>
          <w:tcPr>
            <w:tcW w:w="1816" w:type="dxa"/>
          </w:tcPr>
          <w:p w:rsidR="00B64E80" w:rsidRPr="00B64E80" w:rsidRDefault="00B64E80" w:rsidP="00E128F5">
            <w:pPr>
              <w:rPr>
                <w:sz w:val="22"/>
                <w:szCs w:val="22"/>
              </w:rPr>
            </w:pPr>
            <w:r w:rsidRPr="00B64E80">
              <w:rPr>
                <w:sz w:val="22"/>
                <w:szCs w:val="22"/>
              </w:rPr>
              <w:t>Medical Supplies</w:t>
            </w:r>
          </w:p>
        </w:tc>
        <w:tc>
          <w:tcPr>
            <w:tcW w:w="533" w:type="dxa"/>
          </w:tcPr>
          <w:p w:rsidR="00B64E80" w:rsidRPr="00B64E80" w:rsidRDefault="00B64E80" w:rsidP="00E128F5">
            <w:pPr>
              <w:rPr>
                <w:sz w:val="22"/>
                <w:szCs w:val="22"/>
              </w:rPr>
            </w:pPr>
            <w:r w:rsidRPr="00B64E80">
              <w:rPr>
                <w:sz w:val="22"/>
                <w:szCs w:val="22"/>
              </w:rPr>
              <w:t>To</w:t>
            </w:r>
          </w:p>
        </w:tc>
        <w:tc>
          <w:tcPr>
            <w:tcW w:w="2012" w:type="dxa"/>
          </w:tcPr>
          <w:p w:rsidR="00B64E80" w:rsidRPr="00B64E80" w:rsidRDefault="00B64E80" w:rsidP="00E128F5">
            <w:pPr>
              <w:rPr>
                <w:sz w:val="22"/>
                <w:szCs w:val="22"/>
              </w:rPr>
            </w:pPr>
            <w:r w:rsidRPr="00B64E80">
              <w:rPr>
                <w:sz w:val="22"/>
                <w:szCs w:val="22"/>
              </w:rPr>
              <w:t>019-0100-5200.00</w:t>
            </w:r>
          </w:p>
        </w:tc>
        <w:tc>
          <w:tcPr>
            <w:tcW w:w="2018" w:type="dxa"/>
          </w:tcPr>
          <w:p w:rsidR="00B64E80" w:rsidRPr="00B64E80" w:rsidRDefault="00B64E80" w:rsidP="00E128F5">
            <w:pPr>
              <w:rPr>
                <w:sz w:val="22"/>
                <w:szCs w:val="22"/>
              </w:rPr>
            </w:pPr>
            <w:r w:rsidRPr="00B64E80">
              <w:rPr>
                <w:sz w:val="22"/>
                <w:szCs w:val="22"/>
              </w:rPr>
              <w:t>Office Supplies</w:t>
            </w:r>
          </w:p>
        </w:tc>
        <w:tc>
          <w:tcPr>
            <w:tcW w:w="996" w:type="dxa"/>
          </w:tcPr>
          <w:p w:rsidR="00B64E80" w:rsidRPr="00B64E80" w:rsidRDefault="00B64E80" w:rsidP="00E128F5">
            <w:pPr>
              <w:jc w:val="right"/>
              <w:rPr>
                <w:sz w:val="22"/>
                <w:szCs w:val="22"/>
              </w:rPr>
            </w:pPr>
            <w:r w:rsidRPr="00B64E80">
              <w:rPr>
                <w:sz w:val="22"/>
                <w:szCs w:val="22"/>
              </w:rPr>
              <w:t>500.00</w:t>
            </w:r>
          </w:p>
        </w:tc>
      </w:tr>
    </w:tbl>
    <w:p w:rsidR="00B64E80" w:rsidRPr="00B64E80" w:rsidRDefault="00B64E80" w:rsidP="00B64E80">
      <w:pPr>
        <w:rPr>
          <w:sz w:val="22"/>
          <w:szCs w:val="22"/>
        </w:rPr>
      </w:pPr>
    </w:p>
    <w:p w:rsidR="00B64E80" w:rsidRDefault="00B64E80" w:rsidP="00B64E80">
      <w:pPr>
        <w:rPr>
          <w:sz w:val="22"/>
          <w:szCs w:val="22"/>
        </w:rPr>
      </w:pPr>
      <w:r w:rsidRPr="00B64E80">
        <w:rPr>
          <w:b/>
          <w:sz w:val="22"/>
          <w:szCs w:val="22"/>
        </w:rPr>
        <w:t>Contact Tracing Additional Appropriation</w:t>
      </w:r>
      <w:r w:rsidRPr="00B64E80">
        <w:rPr>
          <w:sz w:val="22"/>
          <w:szCs w:val="22"/>
        </w:rPr>
        <w:t xml:space="preserve"> – Ms. Weber moved and Dr. G</w:t>
      </w:r>
      <w:r w:rsidR="00F452C1">
        <w:rPr>
          <w:sz w:val="22"/>
          <w:szCs w:val="22"/>
        </w:rPr>
        <w:t>winn</w:t>
      </w:r>
      <w:r w:rsidRPr="00B64E80">
        <w:rPr>
          <w:sz w:val="22"/>
          <w:szCs w:val="22"/>
        </w:rPr>
        <w:t xml:space="preserve"> seconded a motion to </w:t>
      </w:r>
      <w:r>
        <w:rPr>
          <w:sz w:val="22"/>
          <w:szCs w:val="22"/>
        </w:rPr>
        <w:t>approve Resolution 2020-24, Additional Appropriation to the Distr</w:t>
      </w:r>
      <w:r w:rsidR="001F7735">
        <w:rPr>
          <w:sz w:val="22"/>
          <w:szCs w:val="22"/>
        </w:rPr>
        <w:t>ict Health Contact Tracing fund.</w:t>
      </w:r>
      <w:r>
        <w:rPr>
          <w:sz w:val="22"/>
          <w:szCs w:val="22"/>
        </w:rPr>
        <w:t xml:space="preserve"> - Roll call was unanimous – motion carried.</w:t>
      </w:r>
    </w:p>
    <w:p w:rsidR="00B64E80" w:rsidRDefault="00B64E80" w:rsidP="00B64E80">
      <w:pPr>
        <w:rPr>
          <w:sz w:val="22"/>
          <w:szCs w:val="22"/>
        </w:rPr>
      </w:pPr>
    </w:p>
    <w:tbl>
      <w:tblPr>
        <w:tblStyle w:val="TableGrid"/>
        <w:tblW w:w="8640" w:type="dxa"/>
        <w:tblInd w:w="85" w:type="dxa"/>
        <w:tblLook w:val="04A0" w:firstRow="1" w:lastRow="0" w:firstColumn="1" w:lastColumn="0" w:noHBand="0" w:noVBand="1"/>
      </w:tblPr>
      <w:tblGrid>
        <w:gridCol w:w="2453"/>
        <w:gridCol w:w="573"/>
        <w:gridCol w:w="2550"/>
        <w:gridCol w:w="1894"/>
        <w:gridCol w:w="1170"/>
      </w:tblGrid>
      <w:tr w:rsidR="00AF7B8F" w:rsidRPr="00AF7B8F" w:rsidTr="00AF7B8F">
        <w:tc>
          <w:tcPr>
            <w:tcW w:w="2453" w:type="dxa"/>
          </w:tcPr>
          <w:p w:rsidR="00AF7B8F" w:rsidRPr="00AF7B8F" w:rsidRDefault="00AF7B8F" w:rsidP="00AF7B8F">
            <w:pPr>
              <w:pStyle w:val="NoSpacing"/>
              <w:rPr>
                <w:sz w:val="22"/>
                <w:szCs w:val="22"/>
              </w:rPr>
            </w:pPr>
            <w:r w:rsidRPr="00AF7B8F">
              <w:rPr>
                <w:sz w:val="22"/>
                <w:szCs w:val="22"/>
              </w:rPr>
              <w:t>Unappropriated Revenue</w:t>
            </w:r>
          </w:p>
        </w:tc>
        <w:tc>
          <w:tcPr>
            <w:tcW w:w="573" w:type="dxa"/>
          </w:tcPr>
          <w:p w:rsidR="00AF7B8F" w:rsidRPr="00AF7B8F" w:rsidRDefault="00AF7B8F" w:rsidP="00AF7B8F">
            <w:pPr>
              <w:pStyle w:val="NoSpacing"/>
              <w:rPr>
                <w:sz w:val="22"/>
                <w:szCs w:val="22"/>
              </w:rPr>
            </w:pPr>
            <w:r>
              <w:rPr>
                <w:sz w:val="22"/>
                <w:szCs w:val="22"/>
              </w:rPr>
              <w:t>To</w:t>
            </w:r>
          </w:p>
        </w:tc>
        <w:tc>
          <w:tcPr>
            <w:tcW w:w="2550" w:type="dxa"/>
          </w:tcPr>
          <w:p w:rsidR="00AF7B8F" w:rsidRPr="00AF7B8F" w:rsidRDefault="00AF7B8F" w:rsidP="00AF7B8F">
            <w:pPr>
              <w:pStyle w:val="NoSpacing"/>
              <w:rPr>
                <w:sz w:val="22"/>
                <w:szCs w:val="22"/>
              </w:rPr>
            </w:pPr>
            <w:r w:rsidRPr="00AF7B8F">
              <w:rPr>
                <w:sz w:val="22"/>
                <w:szCs w:val="22"/>
              </w:rPr>
              <w:t>020-0400-5210.00</w:t>
            </w:r>
          </w:p>
        </w:tc>
        <w:tc>
          <w:tcPr>
            <w:tcW w:w="1894" w:type="dxa"/>
          </w:tcPr>
          <w:p w:rsidR="00AF7B8F" w:rsidRPr="00AF7B8F" w:rsidRDefault="00AF7B8F" w:rsidP="00AF7B8F">
            <w:pPr>
              <w:pStyle w:val="NoSpacing"/>
              <w:rPr>
                <w:sz w:val="22"/>
                <w:szCs w:val="22"/>
              </w:rPr>
            </w:pPr>
            <w:r w:rsidRPr="00AF7B8F">
              <w:rPr>
                <w:sz w:val="22"/>
                <w:szCs w:val="22"/>
              </w:rPr>
              <w:t>Equipment</w:t>
            </w:r>
          </w:p>
        </w:tc>
        <w:tc>
          <w:tcPr>
            <w:tcW w:w="1170" w:type="dxa"/>
          </w:tcPr>
          <w:p w:rsidR="00AF7B8F" w:rsidRPr="00AF7B8F" w:rsidRDefault="00AF7B8F" w:rsidP="00AF7B8F">
            <w:pPr>
              <w:pStyle w:val="NoSpacing"/>
              <w:jc w:val="right"/>
              <w:rPr>
                <w:sz w:val="22"/>
                <w:szCs w:val="22"/>
              </w:rPr>
            </w:pPr>
            <w:r w:rsidRPr="00AF7B8F">
              <w:rPr>
                <w:sz w:val="22"/>
                <w:szCs w:val="22"/>
              </w:rPr>
              <w:t>21,000.00</w:t>
            </w:r>
          </w:p>
        </w:tc>
      </w:tr>
    </w:tbl>
    <w:p w:rsidR="00AF7B8F" w:rsidRDefault="00AF7B8F" w:rsidP="00B64E80">
      <w:pPr>
        <w:rPr>
          <w:sz w:val="22"/>
          <w:szCs w:val="22"/>
        </w:rPr>
      </w:pPr>
    </w:p>
    <w:p w:rsidR="00B64E80" w:rsidRDefault="00B64E80" w:rsidP="00B64E80">
      <w:pPr>
        <w:rPr>
          <w:sz w:val="22"/>
          <w:szCs w:val="22"/>
        </w:rPr>
      </w:pPr>
      <w:r w:rsidRPr="001F7735">
        <w:rPr>
          <w:b/>
          <w:sz w:val="22"/>
          <w:szCs w:val="22"/>
        </w:rPr>
        <w:t>HSTS Additional Appropriation</w:t>
      </w:r>
      <w:r>
        <w:rPr>
          <w:sz w:val="22"/>
          <w:szCs w:val="22"/>
        </w:rPr>
        <w:t xml:space="preserve"> – Dr.</w:t>
      </w:r>
      <w:r w:rsidR="00F452C1">
        <w:rPr>
          <w:sz w:val="22"/>
          <w:szCs w:val="22"/>
        </w:rPr>
        <w:t xml:space="preserve"> Gwinn</w:t>
      </w:r>
      <w:r>
        <w:rPr>
          <w:sz w:val="22"/>
          <w:szCs w:val="22"/>
        </w:rPr>
        <w:t xml:space="preserve"> moved and Dr. Poland seconded a motion to approve </w:t>
      </w:r>
      <w:r w:rsidR="001F7735">
        <w:rPr>
          <w:sz w:val="22"/>
          <w:szCs w:val="22"/>
        </w:rPr>
        <w:t>Resolution 2020-25, Additional Appropriation to the Household Sewage Treatment System fund. – Roll call was unanimous – motion carried.</w:t>
      </w:r>
    </w:p>
    <w:p w:rsidR="00AF7B8F" w:rsidRPr="00AF7B8F" w:rsidRDefault="00AF7B8F" w:rsidP="00B64E80">
      <w:pPr>
        <w:rPr>
          <w:sz w:val="22"/>
          <w:szCs w:val="22"/>
        </w:rPr>
      </w:pPr>
    </w:p>
    <w:tbl>
      <w:tblPr>
        <w:tblStyle w:val="TableGrid"/>
        <w:tblW w:w="0" w:type="auto"/>
        <w:tblInd w:w="85" w:type="dxa"/>
        <w:tblLook w:val="04A0" w:firstRow="1" w:lastRow="0" w:firstColumn="1" w:lastColumn="0" w:noHBand="0" w:noVBand="1"/>
      </w:tblPr>
      <w:tblGrid>
        <w:gridCol w:w="2453"/>
        <w:gridCol w:w="573"/>
        <w:gridCol w:w="2550"/>
        <w:gridCol w:w="1890"/>
        <w:gridCol w:w="1170"/>
      </w:tblGrid>
      <w:tr w:rsidR="00AF7B8F" w:rsidRPr="00AF7B8F" w:rsidTr="00AF7B8F">
        <w:tc>
          <w:tcPr>
            <w:tcW w:w="2453" w:type="dxa"/>
          </w:tcPr>
          <w:p w:rsidR="00AF7B8F" w:rsidRPr="00AF7B8F" w:rsidRDefault="00AF7B8F" w:rsidP="00E128F5">
            <w:pPr>
              <w:pStyle w:val="NoSpacing"/>
              <w:rPr>
                <w:sz w:val="22"/>
                <w:szCs w:val="22"/>
              </w:rPr>
            </w:pPr>
            <w:r w:rsidRPr="00AF7B8F">
              <w:rPr>
                <w:sz w:val="22"/>
                <w:szCs w:val="22"/>
              </w:rPr>
              <w:t>Unanticipated Revenue</w:t>
            </w:r>
          </w:p>
        </w:tc>
        <w:tc>
          <w:tcPr>
            <w:tcW w:w="573" w:type="dxa"/>
          </w:tcPr>
          <w:p w:rsidR="00AF7B8F" w:rsidRPr="00AF7B8F" w:rsidRDefault="00AF7B8F" w:rsidP="00E128F5">
            <w:pPr>
              <w:pStyle w:val="NoSpacing"/>
              <w:rPr>
                <w:sz w:val="22"/>
                <w:szCs w:val="22"/>
              </w:rPr>
            </w:pPr>
            <w:r w:rsidRPr="00AF7B8F">
              <w:rPr>
                <w:sz w:val="22"/>
                <w:szCs w:val="22"/>
              </w:rPr>
              <w:t>to</w:t>
            </w:r>
          </w:p>
        </w:tc>
        <w:tc>
          <w:tcPr>
            <w:tcW w:w="2550" w:type="dxa"/>
          </w:tcPr>
          <w:p w:rsidR="00AF7B8F" w:rsidRPr="00AF7B8F" w:rsidRDefault="00AF7B8F" w:rsidP="00E128F5">
            <w:pPr>
              <w:pStyle w:val="NoSpacing"/>
              <w:rPr>
                <w:sz w:val="22"/>
                <w:szCs w:val="22"/>
              </w:rPr>
            </w:pPr>
            <w:r w:rsidRPr="00AF7B8F">
              <w:rPr>
                <w:sz w:val="22"/>
                <w:szCs w:val="22"/>
              </w:rPr>
              <w:t>131-0100-5400.00</w:t>
            </w:r>
          </w:p>
        </w:tc>
        <w:tc>
          <w:tcPr>
            <w:tcW w:w="1890" w:type="dxa"/>
          </w:tcPr>
          <w:p w:rsidR="00AF7B8F" w:rsidRPr="00AF7B8F" w:rsidRDefault="00AF7B8F" w:rsidP="00E128F5">
            <w:pPr>
              <w:pStyle w:val="NoSpacing"/>
              <w:rPr>
                <w:sz w:val="22"/>
                <w:szCs w:val="22"/>
              </w:rPr>
            </w:pPr>
            <w:r w:rsidRPr="00AF7B8F">
              <w:rPr>
                <w:sz w:val="22"/>
                <w:szCs w:val="22"/>
              </w:rPr>
              <w:t>Other Expenses</w:t>
            </w:r>
          </w:p>
        </w:tc>
        <w:tc>
          <w:tcPr>
            <w:tcW w:w="1170" w:type="dxa"/>
          </w:tcPr>
          <w:p w:rsidR="00AF7B8F" w:rsidRPr="00AF7B8F" w:rsidRDefault="00AF7B8F" w:rsidP="00E128F5">
            <w:pPr>
              <w:pStyle w:val="NoSpacing"/>
              <w:jc w:val="right"/>
              <w:rPr>
                <w:sz w:val="22"/>
                <w:szCs w:val="22"/>
              </w:rPr>
            </w:pPr>
            <w:r w:rsidRPr="00AF7B8F">
              <w:rPr>
                <w:sz w:val="22"/>
                <w:szCs w:val="22"/>
              </w:rPr>
              <w:t>5,258.00</w:t>
            </w:r>
          </w:p>
        </w:tc>
      </w:tr>
    </w:tbl>
    <w:p w:rsidR="00B457A2" w:rsidRDefault="00B457A2" w:rsidP="00B64E80">
      <w:pPr>
        <w:rPr>
          <w:sz w:val="22"/>
          <w:szCs w:val="22"/>
        </w:rPr>
      </w:pPr>
    </w:p>
    <w:p w:rsidR="00AF7B8F" w:rsidRDefault="00AF7B8F" w:rsidP="00B64E80">
      <w:pPr>
        <w:rPr>
          <w:sz w:val="22"/>
          <w:szCs w:val="22"/>
        </w:rPr>
      </w:pPr>
      <w:r>
        <w:rPr>
          <w:sz w:val="22"/>
          <w:szCs w:val="22"/>
        </w:rPr>
        <w:t xml:space="preserve">Mr. Fanning explained that the additional appropriation </w:t>
      </w:r>
      <w:r w:rsidR="00B457A2">
        <w:rPr>
          <w:sz w:val="22"/>
          <w:szCs w:val="22"/>
        </w:rPr>
        <w:t xml:space="preserve">was for a replacement system funded </w:t>
      </w:r>
      <w:r>
        <w:rPr>
          <w:sz w:val="22"/>
          <w:szCs w:val="22"/>
        </w:rPr>
        <w:t>partially by a grant from the EPA to help homeowners repair or replace existing septic systems based on income eligibility.</w:t>
      </w:r>
    </w:p>
    <w:p w:rsidR="00AF7B8F" w:rsidRPr="00AF7B8F" w:rsidRDefault="00AF7B8F" w:rsidP="00B64E80">
      <w:pPr>
        <w:rPr>
          <w:sz w:val="22"/>
          <w:szCs w:val="22"/>
        </w:rPr>
      </w:pPr>
    </w:p>
    <w:p w:rsidR="00130EC8" w:rsidRDefault="00130EC8" w:rsidP="00130EC8">
      <w:pPr>
        <w:rPr>
          <w:sz w:val="22"/>
          <w:szCs w:val="22"/>
        </w:rPr>
      </w:pPr>
      <w:r w:rsidRPr="00AF7B8F">
        <w:rPr>
          <w:b/>
          <w:sz w:val="22"/>
          <w:szCs w:val="22"/>
        </w:rPr>
        <w:t>Detailed Trial Balance</w:t>
      </w:r>
      <w:r>
        <w:rPr>
          <w:sz w:val="22"/>
          <w:szCs w:val="22"/>
        </w:rPr>
        <w:t xml:space="preserve"> – Dr. Poland moved and Mr. Wells seconded a motion to accept the Detailed Trial Balance for the month ended August 31, 2020. – Roll call was unanimous – motion carried.</w:t>
      </w:r>
    </w:p>
    <w:p w:rsidR="00B457A2" w:rsidRDefault="00B457A2" w:rsidP="00B64E80">
      <w:pPr>
        <w:rPr>
          <w:b/>
          <w:sz w:val="22"/>
          <w:szCs w:val="22"/>
        </w:rPr>
      </w:pPr>
    </w:p>
    <w:p w:rsidR="00130EC8" w:rsidRDefault="00130EC8" w:rsidP="00B64E80">
      <w:pPr>
        <w:rPr>
          <w:b/>
          <w:sz w:val="22"/>
          <w:szCs w:val="22"/>
        </w:rPr>
      </w:pPr>
    </w:p>
    <w:p w:rsidR="00130EC8" w:rsidRDefault="00130EC8" w:rsidP="00B64E80">
      <w:pPr>
        <w:rPr>
          <w:b/>
          <w:sz w:val="22"/>
          <w:szCs w:val="22"/>
        </w:rPr>
      </w:pPr>
    </w:p>
    <w:p w:rsidR="00B457A2" w:rsidRDefault="00B457A2" w:rsidP="00B64E80">
      <w:pPr>
        <w:rPr>
          <w:b/>
          <w:sz w:val="22"/>
          <w:szCs w:val="22"/>
        </w:rPr>
      </w:pPr>
      <w:r>
        <w:rPr>
          <w:b/>
          <w:sz w:val="22"/>
          <w:szCs w:val="22"/>
        </w:rPr>
        <w:t>Board of Health Minutes</w:t>
      </w:r>
    </w:p>
    <w:p w:rsidR="00B457A2" w:rsidRDefault="00B457A2" w:rsidP="00B64E80">
      <w:pPr>
        <w:rPr>
          <w:b/>
          <w:sz w:val="22"/>
          <w:szCs w:val="22"/>
        </w:rPr>
      </w:pPr>
      <w:r>
        <w:rPr>
          <w:b/>
          <w:sz w:val="22"/>
          <w:szCs w:val="22"/>
        </w:rPr>
        <w:t>September 17, 2020</w:t>
      </w:r>
    </w:p>
    <w:p w:rsidR="00B457A2" w:rsidRDefault="00B457A2" w:rsidP="00B64E80">
      <w:pPr>
        <w:rPr>
          <w:b/>
          <w:sz w:val="22"/>
          <w:szCs w:val="22"/>
        </w:rPr>
      </w:pPr>
      <w:r>
        <w:rPr>
          <w:b/>
          <w:sz w:val="22"/>
          <w:szCs w:val="22"/>
        </w:rPr>
        <w:t>Page 2</w:t>
      </w:r>
    </w:p>
    <w:p w:rsidR="00B457A2" w:rsidRDefault="00B457A2" w:rsidP="00B64E80">
      <w:pPr>
        <w:rPr>
          <w:b/>
          <w:sz w:val="22"/>
          <w:szCs w:val="22"/>
        </w:rPr>
      </w:pPr>
    </w:p>
    <w:p w:rsidR="00AF7B8F" w:rsidRDefault="00AF7B8F" w:rsidP="00B64E80">
      <w:pPr>
        <w:rPr>
          <w:sz w:val="22"/>
          <w:szCs w:val="22"/>
        </w:rPr>
      </w:pPr>
    </w:p>
    <w:p w:rsidR="00B457A2" w:rsidRDefault="00AF7B8F" w:rsidP="00B64E80">
      <w:pPr>
        <w:rPr>
          <w:sz w:val="22"/>
          <w:szCs w:val="22"/>
        </w:rPr>
      </w:pPr>
      <w:r w:rsidRPr="00B457A2">
        <w:rPr>
          <w:b/>
          <w:sz w:val="22"/>
          <w:szCs w:val="22"/>
        </w:rPr>
        <w:t>Environmental</w:t>
      </w:r>
      <w:r>
        <w:rPr>
          <w:sz w:val="22"/>
          <w:szCs w:val="22"/>
        </w:rPr>
        <w:t xml:space="preserve"> – Mr. Fanning reported that August had been a very busy month for septic and well permits.  </w:t>
      </w:r>
      <w:r w:rsidR="00B457A2">
        <w:rPr>
          <w:sz w:val="22"/>
          <w:szCs w:val="22"/>
        </w:rPr>
        <w:t>He added that funding was not available for a tire collection day.</w:t>
      </w:r>
    </w:p>
    <w:p w:rsidR="00B457A2" w:rsidRDefault="00B457A2" w:rsidP="00B64E80">
      <w:pPr>
        <w:rPr>
          <w:sz w:val="22"/>
          <w:szCs w:val="22"/>
        </w:rPr>
      </w:pPr>
    </w:p>
    <w:p w:rsidR="00E458CB" w:rsidRDefault="00B457A2" w:rsidP="00B64E80">
      <w:pPr>
        <w:rPr>
          <w:sz w:val="22"/>
          <w:szCs w:val="22"/>
        </w:rPr>
      </w:pPr>
      <w:r w:rsidRPr="00B457A2">
        <w:rPr>
          <w:b/>
          <w:sz w:val="22"/>
          <w:szCs w:val="22"/>
        </w:rPr>
        <w:t>Public Health Nursing</w:t>
      </w:r>
      <w:r>
        <w:rPr>
          <w:sz w:val="22"/>
          <w:szCs w:val="22"/>
        </w:rPr>
        <w:t xml:space="preserve"> – Ms. Smith reported that in addition to 25 new Covid cases for August, there were also six Lyme disease cases and two Lacrosse Encephalitis cases reported.  The two Lacrosse cases were located in in Warsaw and Fresno.  A drive-thru flu clinic is planned for October </w:t>
      </w:r>
      <w:proofErr w:type="gramStart"/>
      <w:r>
        <w:rPr>
          <w:sz w:val="22"/>
          <w:szCs w:val="22"/>
        </w:rPr>
        <w:t>1</w:t>
      </w:r>
      <w:r w:rsidRPr="00B457A2">
        <w:rPr>
          <w:sz w:val="22"/>
          <w:szCs w:val="22"/>
          <w:vertAlign w:val="superscript"/>
        </w:rPr>
        <w:t>st</w:t>
      </w:r>
      <w:proofErr w:type="gramEnd"/>
      <w:r w:rsidR="00E458CB">
        <w:rPr>
          <w:sz w:val="22"/>
          <w:szCs w:val="22"/>
        </w:rPr>
        <w:t xml:space="preserve"> for county employees at the EMS Sixth Street Facility.  </w:t>
      </w:r>
    </w:p>
    <w:p w:rsidR="00F64018" w:rsidRDefault="00F64018" w:rsidP="00B64E80">
      <w:pPr>
        <w:rPr>
          <w:sz w:val="22"/>
          <w:szCs w:val="22"/>
        </w:rPr>
      </w:pPr>
    </w:p>
    <w:p w:rsidR="00B457A2" w:rsidRDefault="00E458CB" w:rsidP="00B64E80">
      <w:pPr>
        <w:rPr>
          <w:sz w:val="22"/>
          <w:szCs w:val="22"/>
        </w:rPr>
      </w:pPr>
      <w:r w:rsidRPr="00E458CB">
        <w:rPr>
          <w:b/>
          <w:sz w:val="22"/>
          <w:szCs w:val="22"/>
        </w:rPr>
        <w:t>Maternal and Child Health Center</w:t>
      </w:r>
      <w:r>
        <w:rPr>
          <w:sz w:val="22"/>
          <w:szCs w:val="22"/>
        </w:rPr>
        <w:t xml:space="preserve"> – There has been a decline in the number of immunizations given this summer.  </w:t>
      </w:r>
    </w:p>
    <w:p w:rsidR="00E458CB" w:rsidRDefault="00E458CB" w:rsidP="00B64E80">
      <w:pPr>
        <w:rPr>
          <w:sz w:val="22"/>
          <w:szCs w:val="22"/>
        </w:rPr>
      </w:pPr>
    </w:p>
    <w:p w:rsidR="00E458CB" w:rsidRDefault="00E458CB" w:rsidP="00B64E80">
      <w:pPr>
        <w:rPr>
          <w:sz w:val="22"/>
          <w:szCs w:val="22"/>
        </w:rPr>
      </w:pPr>
      <w:r>
        <w:rPr>
          <w:sz w:val="22"/>
          <w:szCs w:val="22"/>
        </w:rPr>
        <w:t>There was nothing to report from either the WIC or PHEP programs.</w:t>
      </w:r>
    </w:p>
    <w:p w:rsidR="00E458CB" w:rsidRDefault="00E458CB" w:rsidP="00B64E80">
      <w:pPr>
        <w:rPr>
          <w:sz w:val="22"/>
          <w:szCs w:val="22"/>
        </w:rPr>
      </w:pPr>
    </w:p>
    <w:p w:rsidR="00E458CB" w:rsidRDefault="00E458CB" w:rsidP="00B64E80">
      <w:pPr>
        <w:rPr>
          <w:sz w:val="22"/>
          <w:szCs w:val="22"/>
        </w:rPr>
      </w:pPr>
      <w:r w:rsidRPr="00E458CB">
        <w:rPr>
          <w:b/>
          <w:sz w:val="22"/>
          <w:szCs w:val="22"/>
        </w:rPr>
        <w:t>Coronavirus/Contact Tracing grants</w:t>
      </w:r>
      <w:r>
        <w:rPr>
          <w:sz w:val="22"/>
          <w:szCs w:val="22"/>
        </w:rPr>
        <w:t xml:space="preserve"> – Mr. Lonsinger sent a draft contract for enforcement to Dean </w:t>
      </w:r>
      <w:proofErr w:type="spellStart"/>
      <w:r>
        <w:rPr>
          <w:sz w:val="22"/>
          <w:szCs w:val="22"/>
        </w:rPr>
        <w:t>Hetinger</w:t>
      </w:r>
      <w:proofErr w:type="spellEnd"/>
      <w:r>
        <w:rPr>
          <w:sz w:val="22"/>
          <w:szCs w:val="22"/>
        </w:rPr>
        <w:t xml:space="preserve"> and Sheriff Rogers at the Coshocton County Sheriff’s office.  After no response, he contacted County Prosecutor Jason Given.  Mr. Given’s opinion is that he would not like to see any injunctions filed due to the threat of potential lawsuits.  Mr. Lonsinger confirmed that this seems to be the consensus among other counties as well.</w:t>
      </w:r>
    </w:p>
    <w:p w:rsidR="00BD32BA" w:rsidRDefault="00BD32BA" w:rsidP="00B64E80">
      <w:pPr>
        <w:rPr>
          <w:sz w:val="22"/>
          <w:szCs w:val="22"/>
        </w:rPr>
      </w:pPr>
    </w:p>
    <w:p w:rsidR="00BD32BA" w:rsidRDefault="00BD32BA" w:rsidP="00B64E80">
      <w:pPr>
        <w:rPr>
          <w:sz w:val="22"/>
          <w:szCs w:val="22"/>
        </w:rPr>
      </w:pPr>
      <w:r w:rsidRPr="00BD32BA">
        <w:rPr>
          <w:b/>
          <w:sz w:val="22"/>
          <w:szCs w:val="22"/>
        </w:rPr>
        <w:t>Health Commissioner’s Report</w:t>
      </w:r>
      <w:r>
        <w:rPr>
          <w:sz w:val="22"/>
          <w:szCs w:val="22"/>
        </w:rPr>
        <w:t xml:space="preserve"> – Mr. Lonsinger reported that the agency was denied funding for the Car Seat Training program from the Coshocton Foundation.  Cindy Hilbish, WIC Director is reaching out to find sponsors for the program such as insurance agencies.</w:t>
      </w:r>
    </w:p>
    <w:p w:rsidR="00E458CB" w:rsidRDefault="00E458CB" w:rsidP="00B64E80">
      <w:pPr>
        <w:rPr>
          <w:sz w:val="22"/>
          <w:szCs w:val="22"/>
        </w:rPr>
      </w:pPr>
    </w:p>
    <w:p w:rsidR="00E458CB" w:rsidRDefault="00E458CB" w:rsidP="00B64E80">
      <w:pPr>
        <w:rPr>
          <w:sz w:val="22"/>
          <w:szCs w:val="22"/>
        </w:rPr>
      </w:pPr>
      <w:r w:rsidRPr="00BE5853">
        <w:rPr>
          <w:b/>
          <w:sz w:val="22"/>
          <w:szCs w:val="22"/>
        </w:rPr>
        <w:t>Accreditation</w:t>
      </w:r>
      <w:r>
        <w:rPr>
          <w:sz w:val="22"/>
          <w:szCs w:val="22"/>
        </w:rPr>
        <w:t xml:space="preserve"> – Mr. Lonsinger </w:t>
      </w:r>
      <w:r w:rsidR="00BE5853">
        <w:rPr>
          <w:sz w:val="22"/>
          <w:szCs w:val="22"/>
        </w:rPr>
        <w:t>reported that he had been comm</w:t>
      </w:r>
      <w:r w:rsidR="00F57EAC">
        <w:rPr>
          <w:sz w:val="22"/>
          <w:szCs w:val="22"/>
        </w:rPr>
        <w:t>unicating with Shelby Smith,</w:t>
      </w:r>
      <w:r w:rsidR="00BE5853">
        <w:rPr>
          <w:sz w:val="22"/>
          <w:szCs w:val="22"/>
        </w:rPr>
        <w:t xml:space="preserve"> Accreditation Coordinator</w:t>
      </w:r>
      <w:r w:rsidR="00F57EAC">
        <w:rPr>
          <w:sz w:val="22"/>
          <w:szCs w:val="22"/>
        </w:rPr>
        <w:t>,</w:t>
      </w:r>
      <w:r w:rsidR="00BE5853">
        <w:rPr>
          <w:sz w:val="22"/>
          <w:szCs w:val="22"/>
        </w:rPr>
        <w:t xml:space="preserve"> via e-mail.  She sent him a list of documen</w:t>
      </w:r>
      <w:r w:rsidR="00F57EAC">
        <w:rPr>
          <w:sz w:val="22"/>
          <w:szCs w:val="22"/>
        </w:rPr>
        <w:t>ts that she has been working on, stating</w:t>
      </w:r>
      <w:r w:rsidR="00BE5853">
        <w:rPr>
          <w:sz w:val="22"/>
          <w:szCs w:val="22"/>
        </w:rPr>
        <w:t xml:space="preserve"> that health issues along with substitute teaching have been affecting the amount of time she has been spending on accreditation.  </w:t>
      </w:r>
      <w:r w:rsidR="00BD32BA">
        <w:rPr>
          <w:sz w:val="22"/>
          <w:szCs w:val="22"/>
        </w:rPr>
        <w:t>Mr. Lonsinger told her to be sure that her timesheets reflect her actual effort.  He</w:t>
      </w:r>
      <w:r w:rsidR="00F57EAC">
        <w:rPr>
          <w:sz w:val="22"/>
          <w:szCs w:val="22"/>
        </w:rPr>
        <w:t xml:space="preserve"> feels that it is not working </w:t>
      </w:r>
      <w:r w:rsidR="00BD32BA">
        <w:rPr>
          <w:sz w:val="22"/>
          <w:szCs w:val="22"/>
        </w:rPr>
        <w:t xml:space="preserve">out </w:t>
      </w:r>
      <w:r w:rsidR="00F57EAC">
        <w:rPr>
          <w:sz w:val="22"/>
          <w:szCs w:val="22"/>
        </w:rPr>
        <w:t xml:space="preserve">with her working remotely, and that she is going to need to choose.  Dr. Poland suggested giving her deadlines that she needs to meet.  Mr. Lonsinger is considering training </w:t>
      </w:r>
      <w:r w:rsidR="00F64018">
        <w:rPr>
          <w:sz w:val="22"/>
          <w:szCs w:val="22"/>
        </w:rPr>
        <w:t xml:space="preserve">another member of staff </w:t>
      </w:r>
      <w:r w:rsidR="0095574F">
        <w:rPr>
          <w:sz w:val="22"/>
          <w:szCs w:val="22"/>
        </w:rPr>
        <w:t>to help with</w:t>
      </w:r>
      <w:r w:rsidR="00F57EAC">
        <w:rPr>
          <w:sz w:val="22"/>
          <w:szCs w:val="22"/>
        </w:rPr>
        <w:t xml:space="preserve"> accreditation.  </w:t>
      </w:r>
      <w:r w:rsidR="0095574F">
        <w:rPr>
          <w:sz w:val="22"/>
          <w:szCs w:val="22"/>
        </w:rPr>
        <w:t>Even a</w:t>
      </w:r>
      <w:r w:rsidR="00F57EAC">
        <w:rPr>
          <w:sz w:val="22"/>
          <w:szCs w:val="22"/>
        </w:rPr>
        <w:t>fter we are accredited, it will become an ongoing process to hav</w:t>
      </w:r>
      <w:r w:rsidR="00F64018">
        <w:rPr>
          <w:sz w:val="22"/>
          <w:szCs w:val="22"/>
        </w:rPr>
        <w:t xml:space="preserve">e it redone every three years. </w:t>
      </w:r>
      <w:r w:rsidR="00F57EAC">
        <w:rPr>
          <w:sz w:val="22"/>
          <w:szCs w:val="22"/>
        </w:rPr>
        <w:t xml:space="preserve"> Mr. Wells asked if the City Health Department was still working on accreditation.  Mr. Lonsinger replied that he had met with Katherine Clark who told him that due to Covid, she had not.  The board feels that </w:t>
      </w:r>
      <w:r w:rsidR="00BD32BA">
        <w:rPr>
          <w:sz w:val="22"/>
          <w:szCs w:val="22"/>
        </w:rPr>
        <w:t xml:space="preserve">Mr. Lonsinger needs to obtain Ms. Smith’s passwords and be able to access any work that she is doing.  The deadline for filing </w:t>
      </w:r>
      <w:proofErr w:type="gramStart"/>
      <w:r w:rsidR="00BD32BA">
        <w:rPr>
          <w:sz w:val="22"/>
          <w:szCs w:val="22"/>
        </w:rPr>
        <w:t>was</w:t>
      </w:r>
      <w:r w:rsidR="00912699">
        <w:rPr>
          <w:sz w:val="22"/>
          <w:szCs w:val="22"/>
        </w:rPr>
        <w:t xml:space="preserve"> </w:t>
      </w:r>
      <w:r w:rsidR="00BD32BA">
        <w:rPr>
          <w:sz w:val="22"/>
          <w:szCs w:val="22"/>
        </w:rPr>
        <w:t>delayed</w:t>
      </w:r>
      <w:proofErr w:type="gramEnd"/>
      <w:r w:rsidR="00BD32BA">
        <w:rPr>
          <w:sz w:val="22"/>
          <w:szCs w:val="22"/>
        </w:rPr>
        <w:t xml:space="preserve"> until February, but Mr. Limburg stated that there is no excuse for the application not having been completed and submitted by the original date since this is Ms. Smith’s only job requirement.</w:t>
      </w:r>
    </w:p>
    <w:p w:rsidR="00130EC8" w:rsidRDefault="00130EC8" w:rsidP="00B64E80">
      <w:pPr>
        <w:rPr>
          <w:sz w:val="22"/>
          <w:szCs w:val="22"/>
        </w:rPr>
      </w:pPr>
    </w:p>
    <w:p w:rsidR="00130EC8" w:rsidRDefault="00130EC8" w:rsidP="00B64E80">
      <w:pPr>
        <w:rPr>
          <w:sz w:val="22"/>
          <w:szCs w:val="22"/>
        </w:rPr>
      </w:pPr>
      <w:r w:rsidRPr="0095574F">
        <w:rPr>
          <w:b/>
          <w:sz w:val="22"/>
          <w:szCs w:val="22"/>
        </w:rPr>
        <w:t>Committee to Combine</w:t>
      </w:r>
      <w:r>
        <w:rPr>
          <w:sz w:val="22"/>
          <w:szCs w:val="22"/>
        </w:rPr>
        <w:t xml:space="preserve"> – Mr. Lonsinger and Katherine Clark both feel that any movement forward needs to come from the combined effort of their respective Boards.  </w:t>
      </w:r>
    </w:p>
    <w:p w:rsidR="00130EC8" w:rsidRDefault="00130EC8" w:rsidP="00B64E80">
      <w:pPr>
        <w:rPr>
          <w:sz w:val="22"/>
          <w:szCs w:val="22"/>
        </w:rPr>
      </w:pPr>
    </w:p>
    <w:p w:rsidR="00130EC8" w:rsidRDefault="00130EC8" w:rsidP="00B64E80">
      <w:pPr>
        <w:rPr>
          <w:sz w:val="22"/>
          <w:szCs w:val="22"/>
        </w:rPr>
      </w:pPr>
      <w:r w:rsidRPr="0095574F">
        <w:rPr>
          <w:b/>
          <w:sz w:val="22"/>
          <w:szCs w:val="22"/>
        </w:rPr>
        <w:t>Adjournment</w:t>
      </w:r>
      <w:r>
        <w:rPr>
          <w:sz w:val="22"/>
          <w:szCs w:val="22"/>
        </w:rPr>
        <w:t xml:space="preserve"> – Dr. Poland moved and Dr. Gwinn seconded a motion to adjourn. – Roll call was unanimous – motion carried.  The time was 6:19 pm.</w:t>
      </w:r>
    </w:p>
    <w:p w:rsidR="00130EC8" w:rsidRDefault="00130EC8" w:rsidP="00B64E80">
      <w:pPr>
        <w:rPr>
          <w:sz w:val="22"/>
          <w:szCs w:val="22"/>
        </w:rPr>
      </w:pPr>
    </w:p>
    <w:p w:rsidR="00130EC8" w:rsidRDefault="00130EC8" w:rsidP="00B64E80">
      <w:pPr>
        <w:rPr>
          <w:sz w:val="22"/>
          <w:szCs w:val="22"/>
        </w:rPr>
      </w:pPr>
    </w:p>
    <w:p w:rsidR="00130EC8" w:rsidRDefault="00130EC8" w:rsidP="00B64E80">
      <w:pPr>
        <w:rPr>
          <w:sz w:val="22"/>
          <w:szCs w:val="22"/>
        </w:rPr>
      </w:pPr>
    </w:p>
    <w:p w:rsidR="00130EC8" w:rsidRDefault="00130EC8" w:rsidP="00B64E80">
      <w:pPr>
        <w:rPr>
          <w:sz w:val="22"/>
          <w:szCs w:val="22"/>
        </w:rPr>
      </w:pPr>
      <w:r>
        <w:rPr>
          <w:sz w:val="22"/>
          <w:szCs w:val="22"/>
        </w:rPr>
        <w:t>_____________________________________________</w:t>
      </w:r>
      <w:r>
        <w:rPr>
          <w:sz w:val="22"/>
          <w:szCs w:val="22"/>
        </w:rPr>
        <w:tab/>
      </w:r>
      <w:r>
        <w:rPr>
          <w:sz w:val="22"/>
          <w:szCs w:val="22"/>
        </w:rPr>
        <w:tab/>
        <w:t>________________________</w:t>
      </w:r>
    </w:p>
    <w:p w:rsidR="00130EC8" w:rsidRDefault="00130EC8" w:rsidP="00B64E80">
      <w:pPr>
        <w:rPr>
          <w:sz w:val="22"/>
          <w:szCs w:val="22"/>
        </w:rPr>
      </w:pPr>
      <w:r>
        <w:rPr>
          <w:sz w:val="22"/>
          <w:szCs w:val="22"/>
        </w:rPr>
        <w:t>Board President, Scott Limburg</w:t>
      </w:r>
      <w:r>
        <w:rPr>
          <w:sz w:val="22"/>
          <w:szCs w:val="22"/>
        </w:rPr>
        <w:tab/>
      </w:r>
      <w:r>
        <w:rPr>
          <w:sz w:val="22"/>
          <w:szCs w:val="22"/>
        </w:rPr>
        <w:tab/>
      </w:r>
      <w:r>
        <w:rPr>
          <w:sz w:val="22"/>
          <w:szCs w:val="22"/>
        </w:rPr>
        <w:tab/>
      </w:r>
      <w:r>
        <w:rPr>
          <w:sz w:val="22"/>
          <w:szCs w:val="22"/>
        </w:rPr>
        <w:tab/>
      </w:r>
      <w:r>
        <w:rPr>
          <w:sz w:val="22"/>
          <w:szCs w:val="22"/>
        </w:rPr>
        <w:tab/>
        <w:t>Date</w:t>
      </w:r>
    </w:p>
    <w:p w:rsidR="00130EC8" w:rsidRDefault="00130EC8" w:rsidP="00B64E80">
      <w:pPr>
        <w:rPr>
          <w:sz w:val="22"/>
          <w:szCs w:val="22"/>
        </w:rPr>
      </w:pPr>
    </w:p>
    <w:p w:rsidR="00130EC8" w:rsidRDefault="00130EC8" w:rsidP="00B64E80">
      <w:pPr>
        <w:rPr>
          <w:sz w:val="22"/>
          <w:szCs w:val="22"/>
        </w:rPr>
      </w:pPr>
    </w:p>
    <w:p w:rsidR="00130EC8" w:rsidRDefault="00130EC8" w:rsidP="00B64E80">
      <w:pPr>
        <w:rPr>
          <w:sz w:val="22"/>
          <w:szCs w:val="22"/>
        </w:rPr>
      </w:pPr>
      <w:r>
        <w:rPr>
          <w:sz w:val="22"/>
          <w:szCs w:val="22"/>
        </w:rPr>
        <w:t>____________________________________________</w:t>
      </w:r>
      <w:r>
        <w:rPr>
          <w:sz w:val="22"/>
          <w:szCs w:val="22"/>
        </w:rPr>
        <w:tab/>
      </w:r>
      <w:r>
        <w:rPr>
          <w:sz w:val="22"/>
          <w:szCs w:val="22"/>
        </w:rPr>
        <w:tab/>
        <w:t>________________________</w:t>
      </w:r>
    </w:p>
    <w:p w:rsidR="00130EC8" w:rsidRPr="00130EC8" w:rsidRDefault="00130EC8" w:rsidP="00130EC8">
      <w:pPr>
        <w:rPr>
          <w:sz w:val="22"/>
          <w:szCs w:val="22"/>
        </w:rPr>
      </w:pPr>
      <w:r>
        <w:rPr>
          <w:sz w:val="22"/>
          <w:szCs w:val="22"/>
        </w:rPr>
        <w:t>Board Secretary, Steve Lonsinger</w:t>
      </w:r>
      <w:r>
        <w:rPr>
          <w:sz w:val="22"/>
          <w:szCs w:val="22"/>
        </w:rPr>
        <w:tab/>
      </w:r>
      <w:r>
        <w:rPr>
          <w:sz w:val="22"/>
          <w:szCs w:val="22"/>
        </w:rPr>
        <w:tab/>
      </w:r>
      <w:r>
        <w:rPr>
          <w:sz w:val="22"/>
          <w:szCs w:val="22"/>
        </w:rPr>
        <w:tab/>
      </w:r>
      <w:r>
        <w:rPr>
          <w:sz w:val="22"/>
          <w:szCs w:val="22"/>
        </w:rPr>
        <w:tab/>
        <w:t>D</w:t>
      </w:r>
      <w:r>
        <w:t>ate</w:t>
      </w:r>
    </w:p>
    <w:sectPr w:rsidR="00130EC8" w:rsidRPr="00130EC8" w:rsidSect="00130EC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86"/>
    <w:rsid w:val="00116984"/>
    <w:rsid w:val="00130EC8"/>
    <w:rsid w:val="001F7735"/>
    <w:rsid w:val="00912699"/>
    <w:rsid w:val="0094254E"/>
    <w:rsid w:val="0095574F"/>
    <w:rsid w:val="009F5186"/>
    <w:rsid w:val="00AF7B8F"/>
    <w:rsid w:val="00B457A2"/>
    <w:rsid w:val="00B64E80"/>
    <w:rsid w:val="00BD32BA"/>
    <w:rsid w:val="00BE5853"/>
    <w:rsid w:val="00C326D5"/>
    <w:rsid w:val="00E458CB"/>
    <w:rsid w:val="00F452C1"/>
    <w:rsid w:val="00F57EAC"/>
    <w:rsid w:val="00F6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897"/>
  <w15:chartTrackingRefBased/>
  <w15:docId w15:val="{7C30BC2C-0679-4752-A42B-60ACE176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186"/>
    <w:pPr>
      <w:spacing w:after="0" w:line="240" w:lineRule="auto"/>
    </w:pPr>
  </w:style>
  <w:style w:type="table" w:styleId="TableGrid">
    <w:name w:val="Table Grid"/>
    <w:basedOn w:val="TableNormal"/>
    <w:rsid w:val="00B64E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Wendy Wilson</cp:lastModifiedBy>
  <cp:revision>5</cp:revision>
  <cp:lastPrinted>2020-09-21T17:05:00Z</cp:lastPrinted>
  <dcterms:created xsi:type="dcterms:W3CDTF">2020-09-21T14:46:00Z</dcterms:created>
  <dcterms:modified xsi:type="dcterms:W3CDTF">2020-09-23T19:33:00Z</dcterms:modified>
</cp:coreProperties>
</file>